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六</w:t>
      </w:r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>厦门市妇女联合会办公室编印                               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7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3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31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E1RMq8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厦门市举行厦门市家庭教育五年规划(2016—2020年)发布会暨2017年百场家庭教育公益讲座启动仪式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市妇联副主席谢立武接听市长专线解读妇联惠民政策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平安家庭 与法同行——市妇联积极参与2017年综治平安集中宣传日活动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市妇联发放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2017年</w:t>
      </w:r>
      <w:r>
        <w:rPr>
          <w:rFonts w:hint="eastAsia" w:ascii="仿宋" w:hAnsi="仿宋" w:eastAsia="仿宋" w:cs="仿宋"/>
          <w:spacing w:val="3"/>
          <w:sz w:val="28"/>
          <w:szCs w:val="28"/>
        </w:rPr>
        <w:t>第三批厦门市贫困妇女“四癌”救助金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厦门市举行厦门市家庭教育五年规划(2016—2020年)发布会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暨2017年百场家庭教育公益讲座启动仪式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为深入贯彻习近平总书记关于“注重家庭、注重家教、注重家风”的重要指示，厦门市妇联、市教育局、市委文明办、市民政局、市文化广电新闻出版局、市卫生和计划生育委员会、市科协、市关心下一代工作委员会共同制定并实施《关于指导推进厦门市家庭教育的五年规划(2016—2020年)》。2017年3月17日上午，指导推进厦门市家庭教育的五年规划(2016—2020年)发布会暨2017年百场家庭教育公益讲座启动仪式在厦门一中新校区景行楼4号报告厅举行，旨在进一步推动“十三五”时期厦门市家庭教育工作创新发展，引导广大家长树立正确的教育观念，掌握科学的教育方法，提高家长自身素质和育人育德水平，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发布会上，市妇联副主席朱秀敏对厦门市家庭教育的五年规划进行了详细解读。朱秀敏副主席指出，《规划》历经广泛征求意见，几易其稿，最后经有关部门共同会审定稿，具有不少的创新与亮点：一是站位更高。确定了全面上水平、有影响的新定位，着力打造具有厦门地方特色、示范引领的家庭教育模式。二是目标明确。凸显以深化家庭教育领域综合改革促进家庭教育发展，着重拓展家庭教育指导服务阵地、推动家庭教育学科建设，出台家庭教育法律法规，健全家庭教育工作机制等明确目标。三是追求卓越。进一步提升家庭教育质量和水平、加快家庭教育事业法制化、专业化、网络化、社会化建设，到2020年基本建成适应城乡发展、满足家长和儿童需求的家庭教育指导服务体系。最后她强调：通过《规划》的实施，构建更有利于儿童健康成长的家庭和社会环境是一个系统工程、一项长期任务，需要各级各部门和各有关组织、各家长学校的长期努力，也需要全社会的共同关注和广泛重视支持。今天《规划》发布后即进入实施阶段，希望各责任部门从各自的职能出发，突出重点，发挥优势，加强协作，守土有责，推动各项工作的落实，让《规划》“落地生根”并“开花结果”，不断开创我市家庭教育工作新局面，为建设“五大发展”示范市作出新的更大的贡献！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会上，厦门一中校长助理林其明作家庭教育经验介绍。启动仪式结束后，原中国青年政治学院党委书记、副院长陆士桢作百场家庭教育公益讲座开场讲座。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市妇联、市教育局、市委文明办、市民政局、市文广新局、市卫计委、市科协、市关工委等相关单位负责人；各区妇联主席、市直妇工委主任；各区教育局德育科长、德育专干；思明区、湖里区街道妇联主席，社区示范家长学校负责人；各市级学校分管领导、德育主任；市级家庭教育示范校分管领导、德育主任等300余人出席活动。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市妇联副主席谢立武接听市长专线解读妇联惠民政策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3月16日上午，市妇联副主席谢立武接听市长专线，就惠及妇女儿童的农村妇女创业就业、“四癌”贫困妇女救助、春蕾助学等相关惠民政策进行解读。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2016年是《厦门市农村妇女创业发展资金实施办法》重新调整并正式实施的第一年，新的管理办法放宽了农村妇女再次申请小额贴息贷款条件，进一步规范了申请小额贴息贷款、一次性创业补助的程序。其中小额贴息贷款的额度从最高10万元提高到20万元。此外，根据以往的规定，每位农村妇女只能申请一次小额贴息贷款，调整后则有两次机会。去年市区总共向242名妇女发放3839万小额贴息贷款。谢立武副主席表示，预计今年发放的小额贴息贷款将达到4000万额度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在对“四癌”救助政策的解读中，谢立武副主席告诉记者，自市妇联开展贫困妇女“四癌”（即乳腺癌、宫颈癌、卵巢癌、子宫癌）救助工作后，每年有100多名贫困妇女从中受益，在确认满足救助条件后，根据家庭困难情况，市妇联将提供最高不超过2万元的救助金。为了让政策更贴近妇女姐妹的需求，自去年下半年起，市妇联进一步简化程序、缩短审批时间，贫困妇女不用等候固定申报时间，可随时申报，符合条件的市妇联将立即拨款，更及时的将救助金送到贫困妇女手上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谢立武副主席表示，每年市妇联都会针对不同妇女姐妹的需求，定期组织开展相关实用技能培训。2017年，市妇联将继续开展相关技能培训，同时还将结合厦门会晤、垃圾分类等内容进行培训，不仅让妇女拥有一技之长，同时也倡导厦门文明风尚，让妇女姐妹在厦门会晤中展现良好的精神风貌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平安家庭 与法同行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——市妇联积极参与2017年综治平安集中宣传日活动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3月26日下午，市妇联参加了由市综治办、市公安局等部门联合举办的2017年综治平安集中宣传日活动。市妇联由谢立武副主席带队，权益部工作人员现场开展“平安家庭　与法同行”暨市妇联娘家人三进三送志愿服务活动。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活动现场，举行有奖法律知识问答活动，向群众宣传“平安家庭”创建和法律知识，发放法律宣传手册近千册。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市妇联发放2017年第三批厦门市贫困妇女“四癌”救助金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3月28日，厦门市妇联发放2017年第三批厦门市贫困妇女“四癌”救助金11万元，共救助11位符合救助条件的申请者。具体情况如下：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癌种分类：乳腺癌7人，宫颈癌2人，子宫癌1人，卵巢癌1人。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年龄分布：30-39岁1人，40-49岁4人，50-59岁5人,60-69岁1人。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人员分布：集美区3人，海沧区1人，同安区7人。</w:t>
      </w: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firstLine="578" w:firstLineChars="200"/>
        <w:jc w:val="both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47E4"/>
    <w:multiLevelType w:val="singleLevel"/>
    <w:tmpl w:val="56B84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2DE08D6"/>
    <w:rsid w:val="09865C72"/>
    <w:rsid w:val="12401A8C"/>
    <w:rsid w:val="17202F08"/>
    <w:rsid w:val="19E17E19"/>
    <w:rsid w:val="21050F46"/>
    <w:rsid w:val="2C594586"/>
    <w:rsid w:val="322A282D"/>
    <w:rsid w:val="34EF515D"/>
    <w:rsid w:val="45FA4694"/>
    <w:rsid w:val="4DDD385F"/>
    <w:rsid w:val="57697289"/>
    <w:rsid w:val="576E1192"/>
    <w:rsid w:val="63850538"/>
    <w:rsid w:val="66AE2347"/>
    <w:rsid w:val="6931662F"/>
    <w:rsid w:val="6E8B4F7E"/>
    <w:rsid w:val="6F2205A8"/>
    <w:rsid w:val="71F44B8F"/>
    <w:rsid w:val="7B7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ScaleCrop>false</ScaleCrop>
  <LinksUpToDate>false</LinksUpToDate>
  <CharactersWithSpaces>2547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2017-12-26T09:00:03Z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