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1024;mso-width-relative:page;mso-height-relative:page;" fillcolor="#008000" filled="t" o:preferrelative="t" stroked="t" coordsize="21600,21600">
            <v:path/>
            <v:fill on="t" focussize="0,0"/>
            <v:stroke color="#008000" miterlimit="2"/>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val="en-US" w:eastAsia="zh-CN"/>
        </w:rPr>
        <w:t>十五</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厦门市妇女联合会办公室编印                               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08</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15</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1024" behindDoc="0" locked="0" layoutInCell="1" allowOverlap="1">
                <wp:simplePos x="0" y="0"/>
                <wp:positionH relativeFrom="column">
                  <wp:posOffset>0</wp:posOffset>
                </wp:positionH>
                <wp:positionV relativeFrom="paragraph">
                  <wp:posOffset>0</wp:posOffset>
                </wp:positionV>
                <wp:extent cx="5760085" cy="635"/>
                <wp:effectExtent l="0" t="19050" r="635" b="26035"/>
                <wp:wrapNone/>
                <wp:docPr id="1" name="直线 3"/>
                <wp:cNvGraphicFramePr/>
                <a:graphic xmlns:a="http://schemas.openxmlformats.org/drawingml/2006/main">
                  <a:graphicData uri="http://schemas.microsoft.com/office/word/2010/wordprocessingShape">
                    <wps:wsp>
                      <wps:cNvCnPr/>
                      <wps:spPr>
                        <a:xfrm>
                          <a:off x="0" y="0"/>
                          <a:ext cx="5760085" cy="635"/>
                        </a:xfrm>
                        <a:prstGeom prst="line">
                          <a:avLst/>
                        </a:prstGeom>
                        <a:ln w="38100" cap="flat" cmpd="sng">
                          <a:solidFill>
                            <a:srgbClr val="008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0pt;height:0.05pt;width:453.55pt;z-index:1024;mso-width-relative:page;mso-height-relative:page;" filled="f" stroked="t" coordsize="21600,21600" o:gfxdata="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lOGKt1AAAAAIBAAAPAAAAAAAAAAEAIAAAACIAAABk&#10;cnMvZG93bnJldi54bWxQSwECFAAUAAAACACHTuJA3yhWw9EBAACQAwAADgAAAAAAAAABACAAAAAj&#10;AQAAZHJzL2Uyb0RvYy54bWxQSwUGAAAAAAYABgBZAQAAZgUA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市妇联赴同安农银村镇银行调研妇女小额贷款工作</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鹭岛巾帼显担当 “近邻”共筑防疫墙</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学史力行 为妇女儿童健康办实事</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厦门市工青妇联合行动 慰问疫情防控一线人员</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市妇联“三举措”普法出新招，惠民生“典”亮新生活</w:t>
      </w:r>
    </w:p>
    <w:p>
      <w:pPr>
        <w:widowControl w:val="0"/>
        <w:numPr>
          <w:ilvl w:val="0"/>
          <w:numId w:val="0"/>
        </w:numPr>
        <w:spacing w:line="460" w:lineRule="exact"/>
        <w:jc w:val="both"/>
        <w:rPr>
          <w:rFonts w:ascii="仿宋" w:hAnsi="仿宋" w:eastAsia="仿宋" w:cs="仿宋"/>
          <w:spacing w:val="3"/>
          <w:sz w:val="28"/>
          <w:szCs w:val="28"/>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市妇联赴同安农银村镇银行调研妇女小额贷款工作</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7月29日上午，市妇联发展联络部一级调研员汪根友带队赴同安农银村镇银行调研小额贷款工作开展情况。并对妇女创业小额贴息贷款新管理办法中有关利率、流程、贴息方式等问题做了意见征集。</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同安农银村镇银行行长郭清池介绍了妇女创业贷款开办以来贷款办理情况及存在的困难和问题。截至2021年6月末，该行已累计为173名妇女发放创业贷款3448万，重点用于帮助妇女群众开展小微企业经营等，解决了近400人就业问题。</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汪根友一级调研员充分肯定了同安农银村镇银行对于妇女创业金融服务工作做出的贡献，并对下一步工作提出建议和要求：一是要强化对贷款项目的审查，加强贷款资金流向监管，对于无真实经营或贷款资金流入房市、股市等情况一律不予发放。二要保证贷款数据报送的及时性和准确性。三是对于项目真实、担保可靠的客户，严格按照规范化贷款流程及时办理，切实将妇女创业发展专项资金用到实处。</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鹭岛巾帼显担当 “近邻”共筑防疫墙</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党有号召，妇联有行动！2021年7月30日，厦门市根据新冠肺炎疫情防控实际情况，启动三级应急响应，突出重点、分级实施开展核酸检测排查。当天，厦门市妇联第一时间主动联系“近邻”党建结对的育秀社区，得知急需志愿者增援核酸检测工作后，市妇联迅速响应号召，领导班子带头报名，全体党员干部职工踊跃参加核酸检测志愿服务。</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7月30日下午4时，厦门市妇联机关“娘家人三进三送”巾帼志愿服务队全体志愿者火速集结，在党组书记、主席杨琪带领下前往五一广场核酸检测点支援。巾帼志愿者们在现场帮助维持秩序，指导群众快速扫码、信息录入，为行动不便的老人、孕妇和带小孩的市民提供贴心帮助。当看到炎热天气下现场工作人员急需补充饮用水，立刻送来10箱矿泉水，送上“娘家人”的关爱。</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核酸检测现场排队人员众多，巾帼志愿者们在夜幕中依旧冒雨维持秩序，严格按照防疫要求做好队伍引导、分流工作，确保核酸检测安全有序。</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7月31日，厦门市妇联发出了《守护鹭岛守护家—— 致全市妇联组织与妇女姐妹的倡议书》，号召各级妇联组织、三八红旗手（集体）、巾帼文明岗、“最美家庭”、巾帼志愿者迅速行动起来，把做好防疫抗疫工作作为深化党史学习教育的实践战场，在常态化疫情防控中找准服务大局服务妇女的切入点，号召全市广大妇女积极发挥在家庭生活中的独特作用，齐心协力筑牢疫情防控的家庭防线。</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连日来，厦门市各级妇干、三八红旗手（集体）、巾帼文明岗、“最美家庭”、巾帼志愿者们一呼百应，积极投身核酸检测、社区排查、疫苗接种、政策宣传、文明劝导、后勤保障等各项疫情防控工作，用实际行动为全力构筑疫情防控的铜墙铁壁贡献巾帼力量。</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学史力行 为妇女儿童健康办实事</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解决贫困妇女重大疾病保障问题，防止妇女因病致贫、因病返贫，市妇联将党史学习教育“办实事”与“再学习、再调研、再落实”活动相结合，到基层和贫困妇女家庭问需求，在做好贫困妇女“四癌”救助和“两癌”农村妇女和女职工免费筛查的同时，延伸工作臂膀，拓展服务空间，链接多方资源，首创低保家庭妇女安康保险，优化提升女性安康保险，精准做好“我为妇女儿童办实事”项目，深化“爱心厦门”建设，回应妇女群众“急难愁盼”。</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一是在贴近民生需求上下功夫。首创设立低保家庭妇女安康保险。市妇联积极申请爱心厦门专项基金20万元，为我市3496名低保家庭中18－60岁的女性购买“低保家庭妇女安康保险”，保险期限1年。被保险人在保险期限内诊断初次患原发性乳腺癌、卵巢癌、子宫内膜癌、宫颈癌等四种女性特定疾病中的任何一种或者多种疾病的，可一次性获得3.5 万元保险理赔金。优化提升女性安康保险。针对来厦务工人员多、随迁子女多、暑期未成年人意外伤害多等特点，市妇联在原女性安康保险保费不变的基础上，新增意外伤害保险责任，女性特定疾病保险责任由4个拓展到7个，可参与投保年龄提高到65周岁。首次投保观察期缩短60天，有效风险保额高达28万，得到广大妇女群众认可。</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二是在健全工作机制上下功夫。建立定点协调机制。各区妇联与保险公司定期召开工作推进会，确立运行模式，对全年工作任务进行细化部署，就如何推进“关爱”活动实时沟通。建立定期反馈机制，各区妇联与保险公司建立“对口联系、专人负责、信息共享、协调配合”的工作模式和运作机制，有低保家庭妇女发生符合理赔情况，第一时间送赔到家，确保政策贯彻落实到位。建立便捷服务机制。设立理赔绿色通道，由专人对低保家庭妇女提供一对一服务，为被保险人供答疑、指导、协助等服务。</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三是在织密覆盖网上下功夫。采取多渠道、多维度宣传举措，在各级妇联官方网站、微信微博公众号等新媒体上，定期推送女性安康保险政策及相关服务流程，做好政策解读服务，让每一个低保家庭都知晓妇女安康保险政策，感知政府关爱。充分发挥各区妇联、市直机关妇工委、各大系统妇联（妇委会）联系面广、群众基础好的优势，将关爱妇女儿童健康政策、“两癌”筛查“四癌”救助政策、贫困妇女儿童大病救助政策、小额贴息贷款创业就业等惠民工作结合起来，做到同步宣传、同步实施，为妇女群众提供主动、及时、准确、高效服务。</w:t>
      </w: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厦门市工青妇联合行动 慰问疫情防控一线人员</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8月6日下午，厦门市总工会、共青团、市妇联携手爱心企业，联合开展关爱慰问防疫一线人员活动，向坚守在疫情防控一线的党员干部、医护人员和志愿者们表示慰问与敬意，送上暖心礼包，并给困难职工和家庭送去生活用品。</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连日来，厦门市工会、共青团、妇联等群团组织充分发挥桥梁和纽带作用，一方面组织动员群众，积极投身疫情防控；一方面发挥志愿者作用，帮扶困难群体，在抗疫中贡献了重要力量。</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6日下午，厦门市团市委书记吴申宇，市妇联党组书记、主席杨琪，市总工会党组成员、副主席朱秀敏，市妇联党组成员、副主席谢立武等冒雨前往筼筜街道、莲前街道等，为坚守防疫一线人员送上慰问物资。市总工会筹集3万元资金，购买了菊花茶、矿泉水、八宝粥、蛋糕、米、油等慰问物资；团市委号召厦门创业人环保科技有限公司、浦发银行厦门分行、厦门宏翰跆拳道馆等我市青年企业家协会、市青年商会捐资捐物1.5万余元，购买菊花茶 、冬瓜茶、矿泉水等慰问物资；市妇联联合市妇女儿童发展基金会、厦门市同盛兴实业有限公司等，共捐赠米、油、牛奶等价值3.2万元慰问物资。</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工青妇慰问组一行详细了解了各疫情防控一线工作情况，叮嘱大家要提高自我保护意识，切实保障自身健康安全，并表示群团组织及社会各界将有针对性开展一系列凝心聚力抗疫情活动，共建爱心厦门。此次慰问活动也让坚守防疫一线工作人员倍感温暖和鼓舞，大家纷纷表示，将齐心协力筑牢厦门市疫情防控防线。</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市妇联“三举措”普法出新招，惠民生“典”亮新生活</w:t>
      </w:r>
    </w:p>
    <w:p>
      <w:pPr>
        <w:shd w:val="clear" w:color="auto" w:fill="FFFFFF"/>
        <w:spacing w:line="540" w:lineRule="exact"/>
        <w:ind w:firstLine="618" w:firstLineChars="200"/>
        <w:jc w:val="left"/>
        <w:rPr>
          <w:rFonts w:hint="eastAsia" w:ascii="黑体" w:hAnsi="黑体" w:eastAsia="黑体" w:cs="黑体"/>
          <w:spacing w:val="3"/>
          <w:sz w:val="32"/>
          <w:szCs w:val="32"/>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今年3月，厦门市妇联联合市委宣传部、市依法治市办、市司法局、市法学会等五家单位成立厦门市“民法典进家庭”巾帼公益普法宣讲团，巾帼公益普法宣讲团成立以来，百名宣讲团成员通过走进电台、站上讲台、搬上舞台，三举措创新民法典普法宣传方式，广维度，多领域深入百姓生活，深受百姓欢迎。</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一是关注“民”生，普法有声。巾帼公益普法宣讲团成员定期做客厦广交通频道“丁成说法”电台栏目，为听众朋友讲解民法典婚姻家庭编中例如“婚前重大疾病告知”、“家暴救济”等大众热点、难点民生问题，以案释法、答疑解惑，目前已持续播出《民法典进家庭》特别节目40期，让人们在了解关注民生问题中学习民法典知识，迅速掀起民法典学习宣传教育的热潮。</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二是巾帼宣讲，“法”治护航。巾帼公益普法宣讲团成员，通过进广场、进社区、进校区、进企业、进楼宇等广泛开展公益普法宣讲活动，通过站上讲台，开展普法宣讲，走进生活，提供法律咨询服务等方式，引导群众了解民法典、认识民法典，通过系列法条的讲解，让老百姓学法、懂法、用法，让法治思想深入人心。截至目前，宣讲团成员开展宣讲服务52场，服务市民上万人次。</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三是文艺惠民，“典”亮生活。宣讲团成员运用自身的法学知识积极对接市文化馆文艺创作工作者，将民法典部分法条编入具有闽南特色的文艺普法创作，将民法典知识搬上舞台，以群众喜闻乐见的打嘴鼓、情景剧、快板、相声等文艺普法表演形式，让民法典宣讲更加具象化、生动化，在不断丰富群众文化生活的同时，潜移默化提升群众法律知识，增强民法典宣传的吸引力和感染力。</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bookmarkStart w:id="0" w:name="_GoBack"/>
      <w:bookmarkEnd w:id="0"/>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E9B"/>
    <w:rsid w:val="001F1D5D"/>
    <w:rsid w:val="00501E9B"/>
    <w:rsid w:val="006A7492"/>
    <w:rsid w:val="113B0A71"/>
    <w:rsid w:val="1C725A98"/>
    <w:rsid w:val="252B69D7"/>
    <w:rsid w:val="2D173066"/>
    <w:rsid w:val="33625C15"/>
    <w:rsid w:val="377F5821"/>
    <w:rsid w:val="387C22EC"/>
    <w:rsid w:val="3B881683"/>
    <w:rsid w:val="513F3B5C"/>
    <w:rsid w:val="587A6974"/>
    <w:rsid w:val="64D716A9"/>
    <w:rsid w:val="6E9400A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qFormat/>
    <w:uiPriority w:val="0"/>
    <w:pPr>
      <w:tabs>
        <w:tab w:val="center" w:pos="4153"/>
        <w:tab w:val="right" w:pos="8306"/>
      </w:tabs>
      <w:snapToGrid w:val="0"/>
      <w:jc w:val="left"/>
    </w:pPr>
    <w:rPr>
      <w:sz w:val="18"/>
      <w:szCs w:val="18"/>
    </w:rPr>
  </w:style>
  <w:style w:type="paragraph" w:styleId="3">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paragraph" w:customStyle="1" w:styleId="11">
    <w:name w:val="列出段落1"/>
    <w:basedOn w:val="1"/>
    <w:qFormat/>
    <w:uiPriority w:val="34"/>
    <w:pPr>
      <w:ind w:firstLine="420" w:firstLineChars="200"/>
    </w:pPr>
  </w:style>
  <w:style w:type="character" w:customStyle="1" w:styleId="12">
    <w:name w:val="页眉 Char"/>
    <w:basedOn w:val="6"/>
    <w:link w:val="3"/>
    <w:qFormat/>
    <w:uiPriority w:val="0"/>
    <w:rPr>
      <w:rFonts w:ascii="Times New Roman" w:hAnsi="Times New Roman" w:eastAsia="宋体" w:cs="Times New Roman"/>
      <w:sz w:val="18"/>
      <w:szCs w:val="18"/>
    </w:rPr>
  </w:style>
  <w:style w:type="character" w:customStyle="1" w:styleId="13">
    <w:name w:val="页脚 Char"/>
    <w:basedOn w:val="6"/>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361</Words>
  <Characters>2060</Characters>
  <Lines>17</Lines>
  <Paragraphs>4</Paragraphs>
  <TotalTime>36</TotalTime>
  <ScaleCrop>false</ScaleCrop>
  <LinksUpToDate>false</LinksUpToDate>
  <CharactersWithSpaces>2417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2017-01-19T03:34:00Z</dcterms:created>
  <dc:creator>Microsoft</dc:creator>
  <cp:lastModifiedBy>Administrator</cp:lastModifiedBy>
  <cp:lastPrinted>2017-01-19T03:15:00Z</cp:lastPrinted>
  <dcterms:modified xsi:type="dcterms:W3CDTF">2021-09-01T09:06:42Z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