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四</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2</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28</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60085" cy="0"/>
                <wp:effectExtent l="0" t="19050" r="12065" b="19050"/>
                <wp:wrapNone/>
                <wp:docPr id="1" name="直线 3"/>
                <wp:cNvGraphicFramePr/>
                <a:graphic xmlns:a="http://schemas.openxmlformats.org/drawingml/2006/main">
                  <a:graphicData uri="http://schemas.microsoft.com/office/word/2010/wordprocessingShape">
                    <wps:wsp>
                      <wps:cNvCnPr/>
                      <wps:spPr>
                        <a:xfrm>
                          <a:off x="0" y="0"/>
                          <a:ext cx="5760085" cy="0"/>
                        </a:xfrm>
                        <a:prstGeom prst="line">
                          <a:avLst/>
                        </a:prstGeom>
                        <a:ln w="38100" cap="flat" cmpd="sng">
                          <a:solidFill>
                            <a:srgbClr val="008000"/>
                          </a:solidFill>
                          <a:prstDash val="solid"/>
                          <a:headEnd type="none" w="med" len="med"/>
                          <a:tailEnd type="none" w="med" len="med"/>
                        </a:ln>
                      </wps:spPr>
                      <wps:bodyPr upright="true"/>
                    </wps:wsp>
                  </a:graphicData>
                </a:graphic>
              </wp:anchor>
            </w:drawing>
          </mc:Choice>
          <mc:Fallback>
            <w:pict>
              <v:line id="直线 3" o:spid="_x0000_s1026" o:spt="20" style="position:absolute;left:0pt;margin-left:0pt;margin-top:0pt;height:0pt;width:453.55pt;z-index:251661312;mso-width-relative:page;mso-height-relative:page;" filled="f" stroked="t" coordsize="21600,21600" o:gfxdata="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9uIB60wAAAAIB&#10;AAAPAAAAAAAAAAEAIAAAADgAAABkcnMvZG93bnJldi54bWxQSwECFAAUAAAACACHTuJAt+3be9EB&#10;AACRAwAADgAAAAAAAAABACAAAAA4AQAAZHJzL2Uyb0RvYy54bWxQSwUGAAAAAAYABgBZAQAAewUA&#10;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0"/>
        </w:numPr>
        <w:spacing w:line="460" w:lineRule="exact"/>
        <w:jc w:val="left"/>
        <w:rPr>
          <w:rFonts w:hint="eastAsia" w:ascii="仿宋" w:hAnsi="仿宋" w:eastAsia="仿宋" w:cs="仿宋"/>
          <w:spacing w:val="3"/>
          <w:sz w:val="28"/>
          <w:szCs w:val="28"/>
        </w:rPr>
      </w:pPr>
      <w:r>
        <w:rPr>
          <w:rFonts w:hint="eastAsia" w:ascii="仿宋" w:hAnsi="仿宋" w:eastAsia="仿宋" w:cs="仿宋"/>
          <w:spacing w:val="3"/>
          <w:sz w:val="28"/>
          <w:szCs w:val="28"/>
        </w:rPr>
        <w:t>厦门市召开妇女儿童工作委员会全体委员会议</w:t>
      </w:r>
    </w:p>
    <w:p>
      <w:pPr>
        <w:numPr>
          <w:ilvl w:val="0"/>
          <w:numId w:val="0"/>
        </w:numPr>
        <w:spacing w:line="460" w:lineRule="exact"/>
        <w:jc w:val="center"/>
        <w:rPr>
          <w:rFonts w:hint="eastAsia" w:ascii="仿宋" w:hAnsi="仿宋" w:eastAsia="仿宋" w:cs="仿宋"/>
          <w:spacing w:val="3"/>
          <w:sz w:val="28"/>
          <w:szCs w:val="28"/>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厦门市召开妇女儿童工作委员会全体委员会议</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2月23日上午，厦门市召开全市妇女儿童工作委员会全体会议。会议深入贯彻落实习近平总书记关于妇女儿童工作的重要论述，落实国务院妇儿工委、省妇儿工委工作部署，总结我市妇女发展纲要（2011－2020年）和儿童发展纲要（2011－2020年）（以下简称《两纲》）实施情况，做好迎接国家、省终期评估检查和下一阶段《两纲》（2021-2030年）编制工作。市政府副市长、市妇儿工委主任张志红出席会议并讲话，市政府副秘书长、市妇儿工委副主任王庭亮主持会议，市妇联主席、市妇儿工委副主任杨琪代表市妇儿工委作工作报告。</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张志红充分肯定了我市《两纲》实施取得的成绩，她指出，市委、市政府高度重视妇女儿童事业发展，《两纲》实施十年来，全市各级妇儿工委和成员单位深入贯彻落实男女平等基本国策和儿童优先原则，认真执行保护妇女儿童权益的法律法规，妇女儿童发展指标全面提升，民生福祉厚实，广大女性充分参与经济社会发展，主体作用彰显，妇女儿童发展环境进一步优化，机制不断创新，全市妇女儿童事业发展呈现良好态势。同时，也存在短板弱项，《两纲》指标目标未能全部完成，妇女参政议政特别是基层妇女参政议政比例偏低，宫颈癌、乳腺癌死亡率呈现上升趋势，妇幼卫生保障水平还有待进一步提高，各区《两纲》工作推进力度不均衡等。</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她要求，一要提高政治站位，结合中共党史学习教育和“再学习、再调研、再落实”活动，增强做好新时代妇女儿童工作的责任感使命感。实施妇女、儿童发展纲要、促进妇女儿童事业发展事关国家崛起和民族进步，各级妇儿工委和成员单位要确立推进妇女儿童事业发展的主体意识、责任意识和服务意识，切实把做好妇女儿童工作为已任，扎实做好本轮《两纲》终期评估和新一轮《两纲》编制工作，确保“十四五”期间妇女儿童工作开好局、起好步。二要全力做好本轮《两纲》终期评估检查迎检工作。各级妇儿工委和成员单位要高度重视，对照《两纲》文本和妇儿工委成员单位职责，严格按照《&lt;两纲&gt;终期评估工作方案》，按时、按质、按要求提供评估报告和资料台账。各重点监测指标责任单位要对指标完成情况负责，特别是未达标指标的责任单位要对指标十年来的实施情况和未达标原因认真分析，做书面情况说明。各级妇儿工委和成员单位要进一步加大宣传力度，广泛宣传实施《两纲》重要意义和成功经验，广泛宣传男女平等基本国策和儿童优先原则，为进一步推进妇女儿童事业发展营造良好的社会舆论环境。三要精心谋划、科学编制新《两纲》。编制好新时期妇女儿童发展纲要关系到未来十年妇女儿童发展的水平和福祉，各级妇儿工委和成员单位要坚持人民至上、以人民为中心的发展理念，按照“对标先进，科学规划；因地制宜，突出特色；聚焦难点，回应关切；定量定性，约束可行”的原则，认真研究分析，科学合理制定各项发展指标，特别要针对妇女儿童最关心最直接最现实的问题，集中优势资源，推出一批覆盖面广、带动力强的民生项目和为民办实事项目，使妇女儿童广泛受益、长期受益。力争在今年6月底编制完成一部既符合国家、省妇女儿童纲要要求又符合我市实际，且能够回应广大妇女儿童对美好生活新期待的新《两纲》。四要加强组织领导，着力推动妇女儿童工作落实落细。要形成工作合力，坚持和完善政府主导、部门协作、社会参与的工作机制，打造更加高效的跨部门、跨领域妇女儿童工作机制和平台。落实工作责任。各区政府和各成员单位要进一步加强政策支持和基本投入，统筹研究推进，确保妇女儿童事业发展与经济社会发展同步规划、同步实施、同步落实。要加强工作保障。针对目前各区妇儿工委办在专职工作人员配备方面仍有较大缺口等问题，要加强妇儿工委及办公室队伍建设，尽快充实专职工作人员。同时，在经费保障、制度安排等方面加大支持力度，完善妇女儿童工作委员会和办公室各项制度规程。</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在工作报告中全面总结我市《两纲》实施情况，《两纲》实施十年来，全市妇女儿童事业政策环境不断优化，成员单位主体作用发挥明显，男女平等基本国策落实有力，妇女儿童事业高质量健康发展，截至目前，市《两纲》12个领域100项监测指标中，92项已达标，达标率为92%。同时，对市、区《两纲》实施中存在的问题进行了认真分析，并部署下阶段工作任务:一是高度重视，补齐短板，精心准备，全力做好6月和4月份国务院、省妇儿工委《两纲》终期评估检查工作。二是坚持以人民为中心，高水平编制妇女儿童发展新纲要。要突出做好与相关规划衔接。尤其是落实好国家、省有关妇女儿童工作的新指示、新要求和新方向，特别要做好与市、区、各部门“十四五”规划及中长期发展规划的衔接。要突出科学性。充分吸取本轮《两纲》编制中的经验教训，在新《两纲》编制中，务必要注意切合实际，在指标设置上不求“上下一般粗”，对于无法统计的、无法量化的、无法获取数据的指标注意不再设置。在指标判断描述上，特别要注意不要将“逐年增加或减低”等描述作为达标依据。要突出为妇女儿童办实事。在指标设置上一定要以妇女儿童为中心，力求多为妇女儿童解难题、办实事。更多关注当下妇女儿童领域重点难点问题，如性侵未成年人问题、网络保护问题、全面二孩背景下妇女儿童权益保护和家庭支持问题、老龄化社会背景下妇女养老问题等。要突出地方特色。坚持从厦门经济社会发展和妇女儿童的工作实际出发，围绕我市全方位推动高质量发展超越等战略布局，围绕各区中长期发展定位和布局，注重挖掘具有地方特色和亮点的内容，并纳入指标。</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王庭亮主持会议并强调，各级妇儿工委和成员单位要统一思想，提高站位，抢抓时间，奋力冲刺，全力做好《两纲》终期评估迎检准备工作；要科学谋划，认真落实，高度重视新一轮《两纲》编制工作，提出切实可行的政策建议和目标。</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会上，思明区、湖里区、同安区、市教育局、市卫健委、市民政局6家单位，分别就本区《两纲》实施情况、推进教育普惠优质发展、妇幼卫生服务体系建设、推动基层妇女参政议政等问题做了汇报。</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bookmarkStart w:id="0" w:name="_GoBack"/>
      <w:bookmarkEnd w:id="0"/>
      <w:r>
        <w:rPr>
          <w:rFonts w:hint="eastAsia" w:ascii="仿宋" w:hAnsi="仿宋" w:eastAsia="仿宋" w:cs="仿宋"/>
          <w:spacing w:val="3"/>
          <w:kern w:val="0"/>
          <w:sz w:val="32"/>
          <w:szCs w:val="32"/>
          <w:shd w:val="clear" w:color="auto" w:fill="FFFFFF"/>
          <w:lang w:val="en-US" w:eastAsia="zh-CN" w:bidi="ar-SA"/>
        </w:rPr>
        <w:t>市妇儿工委40家成员单位负责人、各区妇联主席等50余人参加了会议。</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9865C72"/>
    <w:rsid w:val="09E8440B"/>
    <w:rsid w:val="09FD0BFD"/>
    <w:rsid w:val="0DD14293"/>
    <w:rsid w:val="0FEC6213"/>
    <w:rsid w:val="100F03F5"/>
    <w:rsid w:val="163F5AEA"/>
    <w:rsid w:val="184D3A1B"/>
    <w:rsid w:val="19E17E19"/>
    <w:rsid w:val="20B642E8"/>
    <w:rsid w:val="21050F46"/>
    <w:rsid w:val="306A5689"/>
    <w:rsid w:val="322A282D"/>
    <w:rsid w:val="45E92091"/>
    <w:rsid w:val="4F711A31"/>
    <w:rsid w:val="59542799"/>
    <w:rsid w:val="5FBBEDBF"/>
    <w:rsid w:val="60930C03"/>
    <w:rsid w:val="6931662F"/>
    <w:rsid w:val="6ACF3C26"/>
    <w:rsid w:val="74F33CF9"/>
    <w:rsid w:val="7B3D6B49"/>
    <w:rsid w:val="7BAA23B8"/>
    <w:rsid w:val="7CF3626D"/>
    <w:rsid w:val="FFBA2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57</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2017-01-19T19:34:00Z</dcterms:created>
  <dc:creator>Microsoft</dc:creator>
  <cp:lastModifiedBy>xmadmin</cp:lastModifiedBy>
  <cp:lastPrinted>2017-01-19T19:15:00Z</cp:lastPrinted>
  <dcterms:modified xsi:type="dcterms:W3CDTF">2021-05-06T16:55:56Z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