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ascii="仿宋_GB2312" w:hAnsi="Verdana" w:eastAsia="仿宋_GB2312"/>
          <w:b/>
          <w:bCs/>
          <w:color w:val="000000"/>
          <w:sz w:val="32"/>
        </w:rPr>
      </w:pPr>
      <w:r>
        <w:rPr>
          <w:rFonts w:ascii="仿宋_GB2312" w:hAnsi="Verdana" w:eastAsia="仿宋_GB2312"/>
          <w:b/>
          <w:bCs/>
          <w:color w:val="000000"/>
          <w:sz w:val="32"/>
          <w:szCs w:val="21"/>
        </w:rPr>
        <w:pict>
          <v:shape id="_x0000_s1026" o:spid="_x0000_s1026" o:spt="136" type="#_x0000_t136" style="position:absolute;left:0pt;margin-left:0pt;margin-top:0pt;height:76.8pt;width:453.55pt;z-index:251660288;mso-width-relative:page;mso-height-relative:page;" fillcolor="#008000" filled="t" stroked="t" coordsize="21600,21600">
            <v:path/>
            <v:fill on="t" focussize="0,0"/>
            <v:stroke color="#008000"/>
            <v:imagedata o:title=""/>
            <o:lock v:ext="edit" text="f"/>
            <v:textpath on="t" fitshape="t" fitpath="t" trim="t" xscale="f" string="妇女工作简报" style="font-family:宋体;font-size:36pt;font-weight:bold;v-text-align:center;"/>
          </v:shape>
        </w:pict>
      </w: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rPr>
          <w:rFonts w:ascii="仿宋_GB2312" w:hAnsi="Verdana" w:eastAsia="仿宋_GB2312"/>
          <w:b/>
          <w:bCs/>
          <w:color w:val="000000"/>
          <w:sz w:val="32"/>
        </w:rPr>
      </w:pPr>
    </w:p>
    <w:p>
      <w:pPr>
        <w:spacing w:line="560" w:lineRule="exact"/>
        <w:jc w:val="center"/>
        <w:rPr>
          <w:rFonts w:ascii="宋体" w:hAnsi="宋体"/>
          <w:b/>
          <w:bCs/>
          <w:color w:val="000000"/>
          <w:sz w:val="32"/>
        </w:rPr>
      </w:pPr>
      <w:r>
        <w:rPr>
          <w:rFonts w:hint="eastAsia" w:ascii="宋体" w:hAnsi="宋体"/>
          <w:b/>
          <w:bCs/>
          <w:color w:val="000000"/>
          <w:sz w:val="32"/>
        </w:rPr>
        <w:t>第</w:t>
      </w:r>
      <w:r>
        <w:rPr>
          <w:rFonts w:hint="eastAsia" w:ascii="宋体" w:hAnsi="宋体"/>
          <w:b/>
          <w:bCs/>
          <w:color w:val="000000"/>
          <w:sz w:val="32"/>
          <w:lang w:eastAsia="zh-CN"/>
        </w:rPr>
        <w:t>六</w:t>
      </w:r>
      <w:r>
        <w:rPr>
          <w:rFonts w:hint="eastAsia" w:ascii="宋体" w:hAnsi="宋体"/>
          <w:b/>
          <w:bCs/>
          <w:color w:val="000000"/>
          <w:sz w:val="32"/>
        </w:rPr>
        <w:t>期</w:t>
      </w:r>
    </w:p>
    <w:p>
      <w:pPr>
        <w:spacing w:line="560" w:lineRule="exact"/>
        <w:rPr>
          <w:rFonts w:ascii="仿宋_GB2312" w:hAnsi="Verdana" w:eastAsia="仿宋_GB2312"/>
          <w:color w:val="000000"/>
          <w:sz w:val="30"/>
          <w:szCs w:val="21"/>
        </w:rPr>
      </w:pPr>
      <w:r>
        <w:rPr>
          <w:rFonts w:hint="eastAsia" w:ascii="仿宋_GB2312" w:hAnsi="Verdana" w:eastAsia="仿宋_GB2312"/>
          <w:color w:val="000000"/>
          <w:sz w:val="30"/>
          <w:szCs w:val="21"/>
        </w:rPr>
        <w:t xml:space="preserve">厦门市妇女联合会办公室编印                               </w:t>
      </w:r>
      <w:r>
        <w:rPr>
          <w:rFonts w:hint="eastAsia" w:ascii="仿宋_GB2312" w:hAnsi="Verdana" w:eastAsia="仿宋_GB2312"/>
          <w:color w:val="000000"/>
          <w:sz w:val="30"/>
          <w:szCs w:val="21"/>
          <w:lang w:val="en-US" w:eastAsia="zh-CN"/>
        </w:rPr>
        <w:t xml:space="preserve"> </w:t>
      </w:r>
      <w:r>
        <w:rPr>
          <w:rFonts w:hint="eastAsia" w:ascii="仿宋_GB2312" w:hAnsi="Verdana" w:eastAsia="仿宋_GB2312"/>
          <w:color w:val="000000"/>
          <w:sz w:val="30"/>
          <w:szCs w:val="21"/>
        </w:rPr>
        <w:t>20</w:t>
      </w:r>
      <w:r>
        <w:rPr>
          <w:rFonts w:hint="eastAsia" w:ascii="仿宋_GB2312" w:hAnsi="Verdana" w:eastAsia="仿宋_GB2312"/>
          <w:color w:val="000000"/>
          <w:sz w:val="30"/>
          <w:szCs w:val="21"/>
          <w:lang w:val="en-US" w:eastAsia="zh-CN"/>
        </w:rPr>
        <w:t>21</w:t>
      </w:r>
      <w:r>
        <w:rPr>
          <w:rFonts w:hint="eastAsia" w:ascii="仿宋_GB2312" w:hAnsi="Verdana" w:eastAsia="仿宋_GB2312"/>
          <w:color w:val="000000"/>
          <w:sz w:val="30"/>
          <w:szCs w:val="21"/>
        </w:rPr>
        <w:t>年</w:t>
      </w:r>
      <w:r>
        <w:rPr>
          <w:rFonts w:hint="eastAsia" w:ascii="仿宋_GB2312" w:hAnsi="Verdana" w:eastAsia="仿宋_GB2312"/>
          <w:color w:val="000000"/>
          <w:sz w:val="30"/>
          <w:szCs w:val="21"/>
          <w:lang w:val="en-US" w:eastAsia="zh-CN"/>
        </w:rPr>
        <w:t>3</w:t>
      </w:r>
      <w:r>
        <w:rPr>
          <w:rFonts w:hint="eastAsia" w:ascii="仿宋_GB2312" w:hAnsi="Verdana" w:eastAsia="仿宋_GB2312"/>
          <w:color w:val="000000"/>
          <w:sz w:val="30"/>
          <w:szCs w:val="21"/>
        </w:rPr>
        <w:t>月</w:t>
      </w:r>
      <w:r>
        <w:rPr>
          <w:rFonts w:hint="eastAsia" w:ascii="仿宋_GB2312" w:hAnsi="Verdana" w:eastAsia="仿宋_GB2312"/>
          <w:color w:val="000000"/>
          <w:sz w:val="30"/>
          <w:szCs w:val="21"/>
          <w:lang w:val="en-US" w:eastAsia="zh-CN"/>
        </w:rPr>
        <w:t>31</w:t>
      </w:r>
      <w:r>
        <w:rPr>
          <w:rFonts w:hint="eastAsia" w:ascii="仿宋_GB2312" w:hAnsi="Verdana" w:eastAsia="仿宋_GB2312"/>
          <w:color w:val="000000"/>
          <w:sz w:val="30"/>
          <w:szCs w:val="21"/>
        </w:rPr>
        <w:t>日</w:t>
      </w:r>
    </w:p>
    <w:p>
      <w:pPr>
        <w:spacing w:line="500" w:lineRule="exact"/>
        <w:rPr>
          <w:rFonts w:ascii="仿宋_GB2312" w:eastAsia="仿宋_GB2312"/>
          <w:b/>
          <w:spacing w:val="20"/>
          <w:sz w:val="28"/>
          <w:szCs w:val="28"/>
        </w:rPr>
      </w:pPr>
      <w:r>
        <w:rPr>
          <w:rFonts w:ascii="仿宋_GB2312" w:eastAsia="仿宋_GB2312"/>
          <w:b/>
          <w:spacing w:val="20"/>
          <w:sz w:val="28"/>
          <w:szCs w:val="28"/>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5760085" cy="0"/>
                <wp:effectExtent l="0" t="19050" r="12065" b="19050"/>
                <wp:wrapNone/>
                <wp:docPr id="1" name="直线 3"/>
                <wp:cNvGraphicFramePr/>
                <a:graphic xmlns:a="http://schemas.openxmlformats.org/drawingml/2006/main">
                  <a:graphicData uri="http://schemas.microsoft.com/office/word/2010/wordprocessingShape">
                    <wps:wsp>
                      <wps:cNvCnPr/>
                      <wps:spPr>
                        <a:xfrm>
                          <a:off x="0" y="0"/>
                          <a:ext cx="5760085" cy="0"/>
                        </a:xfrm>
                        <a:prstGeom prst="line">
                          <a:avLst/>
                        </a:prstGeom>
                        <a:ln w="38100" cap="flat" cmpd="sng">
                          <a:solidFill>
                            <a:srgbClr val="008000"/>
                          </a:solidFill>
                          <a:prstDash val="solid"/>
                          <a:headEnd type="none" w="med" len="med"/>
                          <a:tailEnd type="none" w="med" len="med"/>
                        </a:ln>
                      </wps:spPr>
                      <wps:bodyPr upright="true"/>
                    </wps:wsp>
                  </a:graphicData>
                </a:graphic>
              </wp:anchor>
            </w:drawing>
          </mc:Choice>
          <mc:Fallback>
            <w:pict>
              <v:line id="直线 3" o:spid="_x0000_s1026" o:spt="20" style="position:absolute;left:0pt;margin-left:0pt;margin-top:0pt;height:0pt;width:453.55pt;z-index:251661312;mso-width-relative:page;mso-height-relative:page;" filled="f" stroked="t" coordsize="21600,21600" o:gfxdata="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WAAAAZHJzL1BLAQIUABQAAAAIAIdO4kC9uIB60wAAAAIB&#10;AAAPAAAAAAAAAAEAIAAAADgAAABkcnMvZG93bnJldi54bWxQSwECFAAUAAAACACHTuJAt+3be9EB&#10;AACRAwAADgAAAAAAAAABACAAAAA4AQAAZHJzL2Uyb0RvYy54bWxQSwUGAAAAAAYABgBZAQAAewUA&#10;AAAA&#10;">
                <v:fill on="f" focussize="0,0"/>
                <v:stroke weight="3pt" color="#008000" joinstyle="round"/>
                <v:imagedata o:title=""/>
                <o:lock v:ext="edit" aspectratio="f"/>
              </v:line>
            </w:pict>
          </mc:Fallback>
        </mc:AlternateContent>
      </w:r>
      <w:r>
        <w:rPr>
          <w:rFonts w:hint="eastAsia" w:ascii="仿宋_GB2312" w:eastAsia="仿宋_GB2312"/>
          <w:b/>
          <w:spacing w:val="20"/>
          <w:sz w:val="28"/>
          <w:szCs w:val="28"/>
        </w:rPr>
        <w:t>本期目录</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省妇联党组成员、副主席陈铁晗来厦开展“再学习、再调研、再落实”活动</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厦门市妇儿工委办召开新两纲编制阶段性工作会议</w:t>
      </w:r>
    </w:p>
    <w:p>
      <w:pPr>
        <w:numPr>
          <w:ilvl w:val="0"/>
          <w:numId w:val="1"/>
        </w:numPr>
        <w:spacing w:line="460" w:lineRule="exact"/>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市妇联赴翔安区开展“再学习、再调研、再落实”活动</w:t>
      </w:r>
    </w:p>
    <w:p>
      <w:pPr>
        <w:widowControl w:val="0"/>
        <w:numPr>
          <w:ilvl w:val="0"/>
          <w:numId w:val="1"/>
        </w:numPr>
        <w:spacing w:line="460" w:lineRule="exact"/>
        <w:ind w:left="0" w:leftChars="0" w:firstLine="0" w:firstLineChars="0"/>
        <w:jc w:val="both"/>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市妇联开展安全生产隐患排查整治工作</w:t>
      </w:r>
    </w:p>
    <w:p>
      <w:pPr>
        <w:widowControl w:val="0"/>
        <w:numPr>
          <w:ilvl w:val="0"/>
          <w:numId w:val="1"/>
        </w:numPr>
        <w:spacing w:line="460" w:lineRule="exact"/>
        <w:ind w:left="0" w:leftChars="0" w:firstLine="0" w:firstLineChars="0"/>
        <w:jc w:val="both"/>
        <w:rPr>
          <w:rFonts w:hint="eastAsia" w:ascii="仿宋" w:hAnsi="仿宋" w:eastAsia="仿宋" w:cs="仿宋"/>
          <w:color w:val="auto"/>
          <w:spacing w:val="3"/>
          <w:sz w:val="28"/>
          <w:szCs w:val="28"/>
        </w:rPr>
      </w:pPr>
      <w:r>
        <w:rPr>
          <w:rFonts w:hint="eastAsia" w:ascii="仿宋" w:hAnsi="仿宋" w:eastAsia="仿宋" w:cs="仿宋"/>
          <w:color w:val="auto"/>
          <w:spacing w:val="3"/>
          <w:sz w:val="28"/>
          <w:szCs w:val="28"/>
        </w:rPr>
        <w:t>市妇联组织百名先进女性观看“红色娘子军”</w:t>
      </w:r>
    </w:p>
    <w:p>
      <w:pPr>
        <w:widowControl w:val="0"/>
        <w:numPr>
          <w:numId w:val="0"/>
        </w:numPr>
        <w:spacing w:line="460" w:lineRule="exact"/>
        <w:ind w:leftChars="0"/>
        <w:jc w:val="both"/>
        <w:rPr>
          <w:rFonts w:hint="eastAsia" w:ascii="仿宋" w:hAnsi="仿宋" w:eastAsia="仿宋" w:cs="仿宋"/>
          <w:color w:val="auto"/>
          <w:spacing w:val="3"/>
          <w:sz w:val="28"/>
          <w:szCs w:val="28"/>
        </w:rPr>
      </w:pPr>
      <w:bookmarkStart w:id="0" w:name="_GoBack"/>
      <w:bookmarkEnd w:id="0"/>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省妇联党组成员、副主席陈铁晗来厦</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开展“再学习、再调研、再落实”活动</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11-12日，省妇联党组成员、副主席陈铁晗一行来厦开展“再学习、再调研、再落实”活动，调研新媒体建设工作并开展“巾帼暖人心·普法维权在身边”下基层接访服务活动。厦门市妇联党组成员、副主席陈艺萍陪同调研。</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3月11日下午，调研组一行来到厦门大学新闻传播学院开展专题研讨。厦门大学党委常委、副校长邓朝晖主持调研座谈会。</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厦门大学新闻传播学院党委书记曾铮、院长余清楚、副院长苏俊斌等专家学者在会上发言，就如何进一步提升妇联组织新媒体传播力和到达力，从做好大数据运用、借助公共平台“借船出海”、运用短视频改善宣传效果、新媒体为女性赋权赋能等方面提出意见建议。陈铁晗表示，厦门大学作为福建省唯一的教育部直属高校，是我省妇女工作的重要智库，希望今后厦门大学能发挥高校科研优势，继续密切与省妇联的联系合作，为福建妇女工作包括新媒体发展献策献力。</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12日上午，调研组一行走访厦门美柚股份有限公司、厦门十点文化传播有限公司。陈铁晗与公司负责人分别座谈，深入调研互联网新业态和新媒体发展方向，详细了解以女性客户群体为主的互联网知名企业，针对女性主题开展媒体内容设计、运营、用户维护等情况，并听取对妇联新媒体工作的意见建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在厦门市思明区反家暴服务中心“和合之家”，陈铁晗开展“巾帼暖人心- 普法维权在身边”接访服务活动，指导反家暴服务中心发挥心理咨询师、社工的专业优势，维护好妇女儿童的合法权益，切实撑起妇女儿童的保护伞。</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调研期间，陈铁晗看望慰问了在厦的福建省三八红旗手陈晓君、戴仕梅。陈铁晗勉励她们要立足自身职能特长，发挥典型引领作用，激励带动更多女性立足岗位，奋斗新征程，展现新作为。</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26"/>
        <w:jc w:val="both"/>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厦门市妇儿工委办召开新两纲编制阶段性工作会议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17日上午，市妇儿工委办召开厦门市妇女、儿童发展纲要（2021-2030年）（以下简称新两纲）编制阶段性工作会议。市妇联党组书记、主席，市妇儿工委副主任杨琪，市妇儿工委办负责人王卫花，新两纲编制组负责人厦门大学法学院蒋月教授以及编制组成员等参加会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会上，蒋月教授介绍了新两纲阶段稿的编制思路、内容结构及我市特色亮点内容，探讨了当前学前教育、妇女就业、参政议政、妇女儿童心理健康等重点、难点、热点问题。市妇儿工委办负责人王卫花着重对新两纲阶段稿与省新两纲征求意见稿的异同，工作进度安排，需要注意事项等与编制组交换了意见。</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在认真听取新两纲编制阶段性工作进展汇报后，杨琪就编制好我市新两纲发表了指导性意见。她指出，市政府高度重视新两纲编制工作，2020年11月25日，市政府常务会议专题听取了我市《两纲》实施及妇女儿童工作情况，要求要科学编制新一轮两纲，统筹做好妇女就业、关爱儿童等工作，依法保障合法权益，让妇女儿童有更多获得感、幸福感、安全感。2021年2月23日上午，市政府副市长、市妇儿工委主任张志红主持召开市妇女儿童工作委员会全体委员会议，听取我市《两纲》实施情况汇报，部署《两纲》终期评估检查及新一轮《两纲》编制工作。提出：要坚持人民至上、以人民为中心的发展理念，科学合理制定各项发展指标，针对妇女儿童最关心最直接最现实的问题，集中优势资源，推出一批覆盖面广、带动力强的民生项目和为民办实事项目，编制回应广大妇女儿童对美好生活新期待的新的《两纲》，使妇女儿童广泛受益、长期受益。她强调，一是结合市委“再学习、再调研、再落实”活动，市妇联已将编制新一轮妇女儿童发展纲要作为上报市委的“再落实”重点工作任务清单，编制组一定要以高度的责任感和使命感，加快进程，倒排任务时间表，确保如期完成一部高质量的新两纲。二是我市新两纲必须与国家、省级妇女儿童发展纲要提出的指导思想、基本原则、内容举措对标对表，做到既与国家、省级相关内容和指标衔接，又突出我市妇女儿童工作特色。在部分重点指标设置上，要做好与市妇儿工委成员单位的对接。三是要将为妇女、儿童办实事的内容体现在纲要中，更多关注当下妇女儿童领域重点难点问题，力求多为妇女儿童解难题、办实事。通过推动纲要落实，带动解决妇女儿童“急难愁盼”问题。四是要突出和放大厦门特色，坚持从厦门经济社会发展和妇女儿童的工作实际出发，围绕我市“两高两化”、推动全方位高质量发展超越等目标要求，将妇幼心理健康、两岸融合等特色内容纳入。五是要开门问计问策。征求意见稿形成后，在征集专家和部门意见基础上，要针对不同群体召开征求意见座谈会，如全职妈妈、老年妇女、各年龄段儿童、台胞台属等群体，编制完成一部既符合国家、省妇女儿童纲要要求又符合我市实际，且能够回应广大妇女儿童对美好生活新期待的新两纲。</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市妇联赴翔安区开展“再学习、再调研、再落实”活动</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深入贯彻落实省委、市委“再学习、再调研、再落实”活动部署要求，更好地发挥基层妇联在引领、联系、服务妇女中的重要作用。3月18日，市妇联党组书记、主席杨琪率队到翔安进行市妇联创业发展专项资金工作的专题调研，实地走访祺美柔创业妇女微家和省级巾帼示范基地——大宅火龙果生产基地。</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座谈会上，杨琪主席针对妇女创业发展专项资金申请流程、使用情况进行了了解，详细询问了创业妇女创业项目的规模、经营现状、带动就业情况及存在困难，并倾听了创业妇女对于小额贴息贷款相关问题的建议。</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杨琪对翔安区妇联扶持妇女创新创业及翔安创业妇女艰苦奋斗、大胆创业、解决妇女就业等方面给予赞赏，并提出了三点希望：一是希望区妇联加大改革创新力度，继续加强对妇女创新创业的扶持，并通过微家联盟等方式提高创新创业能力，落实“再学习、再调研、再落实”有关精神，积极探索厦门市妇女创业发展专项资金扶持城乡妇女创新创业更加有效的途径；二是希望区妇联能够有针对性地开展多样化的培训，培养树立创业典型，并将优秀创业项目的经验做法、特色亮点进行提升、分享、推广；三是希望翔安创业妇女继续发扬闽南女性“勤劳打拼”的精神，同时，积极反哺社会，为妇女儿童做好事、做实事。</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jc w:val="left"/>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sz w:val="32"/>
          <w:szCs w:val="32"/>
        </w:rPr>
      </w:pPr>
      <w:r>
        <w:rPr>
          <w:rFonts w:hint="eastAsia" w:ascii="黑体" w:hAnsi="黑体" w:eastAsia="黑体" w:cs="黑体"/>
          <w:spacing w:val="3"/>
          <w:sz w:val="32"/>
          <w:szCs w:val="32"/>
        </w:rPr>
        <w:t>市妇联开展安全生产隐患排查整治工作</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为贯彻落实3月19日晚全市安全生产工作紧急会议要求，市妇联第一时间部署开展安全生产隐患排查整治工作，市妇联党组成员、二级巡视员黄新英召集办公室和妇儿中心安全工作负责人开会，及时传达市政府紧急会议精神和杨琪主席工作要求，强调全体干部职工务必要提高安全生产责任意识，克服麻痹大意思想，认真查找当前安全生产领域存在的问题短板和薄弱环节，切实增强做好安全生产工作的责任感、使命感和危机感，落实落细责任制，确保巾帼大厦工作区域及培训期间“零隐患”“零事故”。</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r>
        <w:rPr>
          <w:rFonts w:hint="eastAsia" w:ascii="仿宋" w:hAnsi="仿宋" w:eastAsia="仿宋" w:cs="仿宋"/>
          <w:spacing w:val="3"/>
          <w:kern w:val="0"/>
          <w:sz w:val="32"/>
          <w:szCs w:val="32"/>
          <w:shd w:val="clear" w:color="auto" w:fill="FFFFFF"/>
          <w:lang w:val="en-US" w:eastAsia="zh-CN" w:bidi="ar-SA"/>
        </w:rPr>
        <w:t>3月20日上午，黄新英带队开展安全生产工作检查，市妇联办公室主任苏少兰、妇儿中心、物业公司等部门负责人参加检查。检查组一行仔细检查了巾帼大厦消防、水电设备以及人脸识别系统、安防监控室主要设施设备运行情况和相应制度执行情况。对在安全检查中遇到的问题现场予以指导解决，做到隐患排查全覆盖，安全问题无死角、零盲区。</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 w:hAnsi="仿宋" w:eastAsia="仿宋" w:cs="仿宋"/>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center"/>
        <w:textAlignment w:val="auto"/>
        <w:rPr>
          <w:rFonts w:hint="eastAsia" w:ascii="黑体" w:hAnsi="黑体" w:eastAsia="黑体" w:cs="黑体"/>
          <w:spacing w:val="3"/>
          <w:kern w:val="0"/>
          <w:sz w:val="32"/>
          <w:szCs w:val="32"/>
          <w:shd w:val="clear" w:color="auto" w:fill="FFFFFF"/>
          <w:lang w:val="en-US" w:eastAsia="zh-CN" w:bidi="ar-SA"/>
        </w:rPr>
      </w:pPr>
      <w:r>
        <w:rPr>
          <w:rFonts w:hint="eastAsia" w:ascii="黑体" w:hAnsi="黑体" w:eastAsia="黑体" w:cs="黑体"/>
          <w:spacing w:val="3"/>
          <w:kern w:val="0"/>
          <w:sz w:val="32"/>
          <w:szCs w:val="32"/>
          <w:shd w:val="clear" w:color="auto" w:fill="FFFFFF"/>
          <w:lang w:val="en-US" w:eastAsia="zh-CN" w:bidi="ar-SA"/>
        </w:rPr>
        <w:t>市妇联组织百名先进女性观看“红色娘子军”</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为深入学习贯彻习近平新时代中国特色社会主义思想，响应在全党开展党史学习教育的号召，激励妇联党员干部传承红色基因、牢记初心使命，从党的百年伟大奋斗历程中汲取继续前进的智慧和力量，3月19日-21日，市妇联组织部、机关党总支、宣传部、权益部共组织全市120名各行业先进集体、优秀女性和妇联执委前往闽南大戏院观看中央芭蕾舞团《红色娘子军》红色革命剧，以艺术课堂的形式创新开展党史学习教育。</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市妇联创新形式开展党史学习教育，深受广大妇女群众欢迎，大家纷纷在市妇联微信号公众号点赞、留言。市妇联执委代表说：“《红色娘子军》作为我们这一代人的回忆，总能令我想起那个时代的峥嵘岁月，欣赏艺术更需要去探究它背后的故事，用艺术把红色娘子军的理念一代一代传承下去！”有的说：“向前进！向前进！巾帼她力量，我们都是‘红色娘子军’！”有的说：“从小就听妈妈讲《红色娘子军》的故事，一定要去现场看看，感受艺术的震撼，精神的洗礼。”</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仿宋_GB2312" w:hAnsi="仿宋_GB2312" w:eastAsia="仿宋_GB2312" w:cs="仿宋_GB2312"/>
          <w:spacing w:val="3"/>
          <w:kern w:val="0"/>
          <w:sz w:val="32"/>
          <w:szCs w:val="32"/>
          <w:shd w:val="clear" w:color="auto" w:fill="FFFFFF"/>
          <w:lang w:val="en-US" w:eastAsia="zh-CN" w:bidi="ar-SA"/>
        </w:rPr>
      </w:pPr>
      <w:r>
        <w:rPr>
          <w:rFonts w:hint="eastAsia" w:ascii="仿宋_GB2312" w:hAnsi="仿宋_GB2312" w:eastAsia="仿宋_GB2312" w:cs="仿宋_GB2312"/>
          <w:spacing w:val="3"/>
          <w:kern w:val="0"/>
          <w:sz w:val="32"/>
          <w:szCs w:val="32"/>
          <w:shd w:val="clear" w:color="auto" w:fill="FFFFFF"/>
          <w:lang w:val="en-US" w:eastAsia="zh-CN" w:bidi="ar-SA"/>
        </w:rPr>
        <w:t>犹记当年峥嵘险，娘子军歌励人心。下一步，市妇联还将继续探索创新党史教育形式，突出自选动作，推动党史教育深入妇女、深入基层、深入人心。</w:t>
      </w: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黑体" w:hAnsi="黑体" w:eastAsia="黑体" w:cs="黑体"/>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left"/>
        <w:textAlignment w:val="auto"/>
        <w:rPr>
          <w:rFonts w:hint="eastAsia" w:ascii="黑体" w:hAnsi="黑体" w:eastAsia="黑体" w:cs="黑体"/>
          <w:spacing w:val="3"/>
          <w:kern w:val="0"/>
          <w:sz w:val="32"/>
          <w:szCs w:val="32"/>
          <w:shd w:val="clear" w:color="auto" w:fill="FFFFFF"/>
          <w:lang w:val="en-US" w:eastAsia="zh-CN" w:bidi="ar-SA"/>
        </w:rPr>
      </w:pPr>
    </w:p>
    <w:p>
      <w:pPr>
        <w:keepNext w:val="0"/>
        <w:keepLines w:val="0"/>
        <w:pageBreakBefore w:val="0"/>
        <w:widowControl w:val="0"/>
        <w:shd w:val="clear" w:color="auto" w:fill="FFFFFF"/>
        <w:kinsoku/>
        <w:wordWrap/>
        <w:overflowPunct/>
        <w:topLinePunct w:val="0"/>
        <w:autoSpaceDE/>
        <w:autoSpaceDN/>
        <w:bidi w:val="0"/>
        <w:adjustRightInd/>
        <w:snapToGrid/>
        <w:spacing w:line="540" w:lineRule="exact"/>
        <w:ind w:firstLine="618" w:firstLineChars="200"/>
        <w:jc w:val="both"/>
        <w:textAlignment w:val="auto"/>
        <w:rPr>
          <w:rFonts w:hint="eastAsia" w:ascii="仿宋" w:hAnsi="仿宋" w:eastAsia="仿宋" w:cs="仿宋"/>
          <w:spacing w:val="3"/>
          <w:kern w:val="0"/>
          <w:sz w:val="32"/>
          <w:szCs w:val="32"/>
          <w:shd w:val="clear" w:color="auto" w:fill="FFFFFF"/>
          <w:lang w:val="en-US" w:eastAsia="zh-CN" w:bidi="ar-SA"/>
        </w:rPr>
      </w:pPr>
    </w:p>
    <w:sectPr>
      <w:headerReference r:id="rId3" w:type="default"/>
      <w:footerReference r:id="rId4" w:type="default"/>
      <w:footerReference r:id="rId5" w:type="even"/>
      <w:pgSz w:w="11906" w:h="16838"/>
      <w:pgMar w:top="1134" w:right="1418" w:bottom="1417" w:left="1418" w:header="851" w:footer="992" w:gutter="0"/>
      <w:cols w:space="720" w:num="1"/>
      <w:docGrid w:type="linesAndChars" w:linePitch="291" w:charSpace="-348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altName w:val="DejaVu Sans"/>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altName w:val="DejaVu Sans"/>
    <w:panose1 w:val="02070309020205020404"/>
    <w:charset w:val="01"/>
    <w:family w:val="modern"/>
    <w:pitch w:val="default"/>
    <w:sig w:usb0="E0002AFF" w:usb1="C0007843" w:usb2="00000009"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DejaVu Sans"/>
    <w:panose1 w:val="020F0502020204030204"/>
    <w:charset w:val="00"/>
    <w:family w:val="swiss"/>
    <w:pitch w:val="default"/>
    <w:sig w:usb0="00000000" w:usb1="00000000" w:usb2="00000001" w:usb3="00000000" w:csb0="0000019F" w:csb1="00000000"/>
  </w:font>
  <w:font w:name="仿宋_GB2312">
    <w:panose1 w:val="02010609030101010101"/>
    <w:charset w:val="86"/>
    <w:family w:val="modern"/>
    <w:pitch w:val="default"/>
    <w:sig w:usb0="00000001" w:usb1="080E0000" w:usb2="00000000" w:usb3="00000000" w:csb0="00040000" w:csb1="00000000"/>
  </w:font>
  <w:font w:name="Verdana">
    <w:altName w:val="DejaVu Sans"/>
    <w:panose1 w:val="020B0604030504040204"/>
    <w:charset w:val="00"/>
    <w:family w:val="swiss"/>
    <w:pitch w:val="default"/>
    <w:sig w:usb0="00000000" w:usb1="00000000" w:usb2="00000010" w:usb3="00000000" w:csb0="2000019F" w:csb1="00000000"/>
  </w:font>
  <w:font w:name="仿宋">
    <w:panose1 w:val="02010609060101010101"/>
    <w:charset w:val="86"/>
    <w:family w:val="modern"/>
    <w:pitch w:val="default"/>
    <w:sig w:usb0="800002BF" w:usb1="38CF7CFA" w:usb2="00000016" w:usb3="00000000" w:csb0="00040001" w:csb1="00000000"/>
  </w:font>
  <w:font w:name="DejaVu Sans">
    <w:panose1 w:val="020B0603030804020204"/>
    <w:charset w:val="00"/>
    <w:family w:val="auto"/>
    <w:pitch w:val="default"/>
    <w:sig w:usb0="E7006EFF" w:usb1="D200FDFF" w:usb2="0A246029" w:usb3="0400200C" w:csb0="600001FF" w:csb1="DFFF0000"/>
  </w:font>
  <w:font w:name="方正宋体S-超大字符集">
    <w:panose1 w:val="02000000000000000000"/>
    <w:charset w:val="86"/>
    <w:family w:val="auto"/>
    <w:pitch w:val="default"/>
    <w:sig w:usb0="00000001" w:usb1="08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panose1 w:val="02000000000000000000"/>
    <w:charset w:val="86"/>
    <w:family w:val="auto"/>
    <w:pitch w:val="default"/>
    <w:sig w:usb0="A00002BF" w:usb1="184F6CFA" w:usb2="00000012"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separate"/>
    </w:r>
    <w:r>
      <w:rPr>
        <w:rStyle w:val="8"/>
      </w:rPr>
      <w:t>1</w:t>
    </w:r>
    <w: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6B847E4"/>
    <w:multiLevelType w:val="singleLevel"/>
    <w:tmpl w:val="56B847E4"/>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false"/>
  <w:bordersDoNotSurroundFooter w:val="false"/>
  <w:documentProtection w:enforcement="0"/>
  <w:defaultTabStop w:val="420"/>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92F3C"/>
    <w:rsid w:val="00092F3C"/>
    <w:rsid w:val="000B0041"/>
    <w:rsid w:val="00101F41"/>
    <w:rsid w:val="00285181"/>
    <w:rsid w:val="003D2D9B"/>
    <w:rsid w:val="00546D83"/>
    <w:rsid w:val="00660C0B"/>
    <w:rsid w:val="00705C23"/>
    <w:rsid w:val="00752215"/>
    <w:rsid w:val="007929B6"/>
    <w:rsid w:val="007A3F3B"/>
    <w:rsid w:val="00870756"/>
    <w:rsid w:val="00921463"/>
    <w:rsid w:val="00941D1F"/>
    <w:rsid w:val="00961108"/>
    <w:rsid w:val="00AC31D7"/>
    <w:rsid w:val="00B6144E"/>
    <w:rsid w:val="00C12208"/>
    <w:rsid w:val="00C160A6"/>
    <w:rsid w:val="00D80895"/>
    <w:rsid w:val="00DB362B"/>
    <w:rsid w:val="00E61FCE"/>
    <w:rsid w:val="00F473CB"/>
    <w:rsid w:val="00F52CD3"/>
    <w:rsid w:val="01DC7C36"/>
    <w:rsid w:val="02821466"/>
    <w:rsid w:val="03280CB5"/>
    <w:rsid w:val="09865C72"/>
    <w:rsid w:val="09E8440B"/>
    <w:rsid w:val="09FD0BFD"/>
    <w:rsid w:val="0DD14293"/>
    <w:rsid w:val="100F03F5"/>
    <w:rsid w:val="163F5AEA"/>
    <w:rsid w:val="184D3A1B"/>
    <w:rsid w:val="19E17E19"/>
    <w:rsid w:val="20B642E8"/>
    <w:rsid w:val="21050F46"/>
    <w:rsid w:val="2A3D15D6"/>
    <w:rsid w:val="322A282D"/>
    <w:rsid w:val="3BAC420C"/>
    <w:rsid w:val="45E92091"/>
    <w:rsid w:val="4F711A31"/>
    <w:rsid w:val="51564BA8"/>
    <w:rsid w:val="66717A30"/>
    <w:rsid w:val="67FD168B"/>
    <w:rsid w:val="6931662F"/>
    <w:rsid w:val="6ACF3C26"/>
    <w:rsid w:val="6E8F3C8C"/>
    <w:rsid w:val="74F33CF9"/>
    <w:rsid w:val="7B3D6B49"/>
    <w:rsid w:val="7BAA23B8"/>
    <w:rsid w:val="B9F6C668"/>
    <w:rsid w:val="E7F421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0" w:semiHidden="0" w:name="header"/>
    <w:lsdException w:qFormat="1" w:unhideWhenUsed="0" w:uiPriority="0"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footer"/>
    <w:basedOn w:val="1"/>
    <w:link w:val="12"/>
    <w:qFormat/>
    <w:uiPriority w:val="0"/>
    <w:pPr>
      <w:tabs>
        <w:tab w:val="center" w:pos="4153"/>
        <w:tab w:val="right" w:pos="8306"/>
      </w:tabs>
      <w:snapToGrid w:val="0"/>
      <w:jc w:val="left"/>
    </w:pPr>
    <w:rPr>
      <w:sz w:val="18"/>
      <w:szCs w:val="18"/>
    </w:rPr>
  </w:style>
  <w:style w:type="paragraph" w:styleId="3">
    <w:name w:val="header"/>
    <w:basedOn w:val="1"/>
    <w:link w:val="11"/>
    <w:qFormat/>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99"/>
    <w:pPr>
      <w:widowControl/>
      <w:spacing w:before="100" w:beforeAutospacing="1" w:after="100" w:afterAutospacing="1"/>
      <w:jc w:val="left"/>
    </w:pPr>
    <w:rPr>
      <w:rFonts w:ascii="宋体" w:hAnsi="宋体" w:cs="宋体"/>
      <w:kern w:val="0"/>
      <w:sz w:val="24"/>
    </w:rPr>
  </w:style>
  <w:style w:type="character" w:styleId="7">
    <w:name w:val="Strong"/>
    <w:basedOn w:val="6"/>
    <w:qFormat/>
    <w:uiPriority w:val="22"/>
    <w:rPr>
      <w:b/>
    </w:rPr>
  </w:style>
  <w:style w:type="character" w:styleId="8">
    <w:name w:val="page number"/>
    <w:basedOn w:val="6"/>
    <w:qFormat/>
    <w:uiPriority w:val="0"/>
  </w:style>
  <w:style w:type="character" w:styleId="9">
    <w:name w:val="FollowedHyperlink"/>
    <w:basedOn w:val="6"/>
    <w:semiHidden/>
    <w:unhideWhenUsed/>
    <w:qFormat/>
    <w:uiPriority w:val="99"/>
    <w:rPr>
      <w:color w:val="343434"/>
      <w:sz w:val="18"/>
      <w:szCs w:val="18"/>
      <w:u w:val="none"/>
    </w:rPr>
  </w:style>
  <w:style w:type="character" w:styleId="10">
    <w:name w:val="Hyperlink"/>
    <w:basedOn w:val="6"/>
    <w:semiHidden/>
    <w:unhideWhenUsed/>
    <w:qFormat/>
    <w:uiPriority w:val="99"/>
    <w:rPr>
      <w:color w:val="343434"/>
      <w:sz w:val="18"/>
      <w:szCs w:val="18"/>
      <w:u w:val="none"/>
    </w:rPr>
  </w:style>
  <w:style w:type="character" w:customStyle="1" w:styleId="11">
    <w:name w:val="页眉 Char"/>
    <w:basedOn w:val="6"/>
    <w:link w:val="3"/>
    <w:qFormat/>
    <w:uiPriority w:val="0"/>
    <w:rPr>
      <w:rFonts w:ascii="Times New Roman" w:hAnsi="Times New Roman" w:eastAsia="宋体" w:cs="Times New Roman"/>
      <w:sz w:val="18"/>
      <w:szCs w:val="18"/>
    </w:rPr>
  </w:style>
  <w:style w:type="character" w:customStyle="1" w:styleId="12">
    <w:name w:val="页脚 Char"/>
    <w:basedOn w:val="6"/>
    <w:link w:val="2"/>
    <w:qFormat/>
    <w:uiPriority w:val="0"/>
    <w:rPr>
      <w:rFonts w:ascii="Times New Roman" w:hAnsi="Times New Roman" w:eastAsia="宋体" w:cs="Times New Roman"/>
      <w:sz w:val="18"/>
      <w:szCs w:val="18"/>
    </w:rPr>
  </w:style>
  <w:style w:type="paragraph" w:styleId="13">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Pages>
  <Words>380</Words>
  <Characters>2172</Characters>
  <Lines>18</Lines>
  <Paragraphs>5</Paragraphs>
  <TotalTime>7</TotalTime>
  <ScaleCrop>false</ScaleCrop>
  <LinksUpToDate>false</LinksUpToDate>
  <CharactersWithSpaces>2547</CharactersWithSpaces>
  <Application>WPS Office_11.8.2.9849_F1E327BC-269C-435d-A152-05C5408002CA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2017-01-19T19:34:00Z</dcterms:created>
  <dc:creator>Microsoft</dc:creator>
  <cp:lastModifiedBy>xmadmin</cp:lastModifiedBy>
  <cp:lastPrinted>2017-01-19T19:15:00Z</cp:lastPrinted>
  <dcterms:modified xsi:type="dcterms:W3CDTF">2021-05-07T08:47:34Z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2052-11.8.2.9849</vt:lpwstr>
  </property>
</Properties>
</file>